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line="360" w:lineRule="auto"/>
        <w:rPr>
          <w:rFonts w:ascii="Times New Roman" w:hAnsi="Times New Roman" w:cs="Times New Roman"/>
          <w:b/>
          <w:sz w:val="24"/>
        </w:rPr>
      </w:pPr>
      <w:r>
        <w:rPr>
          <w:rFonts w:ascii="Times New Roman" w:hAnsi="Times New Roman" w:cs="Times New Roman"/>
          <w:b/>
          <w:sz w:val="24"/>
        </w:rPr>
        <w:t>Lipid metabolism in f</w:t>
      </w:r>
      <w:r>
        <w:rPr>
          <w:rFonts w:ascii="Times New Roman" w:hAnsi="Times New Roman" w:cs="Times New Roman"/>
          <w:b/>
          <w:sz w:val="24"/>
        </w:rPr>
        <w:t>erroptosis, an iron-dependent regulated cell death</w:t>
      </w:r>
    </w:p>
    <w:p>
      <w:pPr>
        <w:jc w:val="center"/>
        <w:spacing w:after="0" w:line="360" w:lineRule="auto"/>
        <w:rPr>
          <w:rFonts w:ascii="Times New Roman" w:hAnsi="Times New Roman" w:cs="Times New Roman"/>
          <w:b/>
          <w:sz w:val="24"/>
        </w:rPr>
      </w:pPr>
      <w:r>
        <w:rPr>
          <w:rFonts w:ascii="Times New Roman" w:hAnsi="Times New Roman" w:cs="Times New Roman"/>
          <w:b/>
          <w:sz w:val="24"/>
        </w:rPr>
        <w:t xml:space="preserve">: An emerging target in cancer and cardiovascular diseases </w:t>
      </w:r>
    </w:p>
    <w:p>
      <w:pPr>
        <w:jc w:val="center"/>
        <w:spacing w:after="0" w:line="360" w:lineRule="auto"/>
        <w:rPr>
          <w:rFonts w:ascii="Times New Roman" w:hAnsi="Times New Roman" w:cs="Times New Roman"/>
          <w:b/>
          <w:sz w:val="24"/>
        </w:rPr>
      </w:pPr>
    </w:p>
    <w:p>
      <w:pPr>
        <w:jc w:val="center"/>
        <w:spacing w:after="0" w:line="360" w:lineRule="auto"/>
        <w:rPr>
          <w:rFonts w:ascii="Times New Roman" w:hAnsi="Times New Roman" w:cs="Times New Roman"/>
        </w:rPr>
      </w:pPr>
      <w:r>
        <w:rPr>
          <w:rFonts w:ascii="Times New Roman" w:hAnsi="Times New Roman" w:cs="Times New Roman"/>
        </w:rPr>
        <w:t>Eun-Woo Lee</w:t>
      </w:r>
    </w:p>
    <w:p>
      <w:pPr>
        <w:jc w:val="center"/>
        <w:spacing w:after="0" w:line="360" w:lineRule="auto"/>
        <w:rPr>
          <w:rFonts w:ascii="Times New Roman" w:hAnsi="Times New Roman" w:cs="Times New Roman"/>
        </w:rPr>
      </w:pPr>
      <w:r>
        <w:rPr>
          <w:rFonts w:ascii="Times New Roman" w:hAnsi="Times New Roman" w:cs="Times New Roman"/>
        </w:rPr>
        <w:t>Metabolic Regulation Research Center</w:t>
      </w:r>
    </w:p>
    <w:p>
      <w:pPr>
        <w:jc w:val="center"/>
        <w:spacing w:after="0" w:line="360" w:lineRule="auto"/>
        <w:rPr>
          <w:rFonts w:ascii="Times New Roman" w:hAnsi="Times New Roman" w:cs="Times New Roman"/>
        </w:rPr>
      </w:pPr>
      <w:r>
        <w:rPr>
          <w:rFonts w:ascii="Times New Roman" w:hAnsi="Times New Roman" w:cs="Times New Roman"/>
        </w:rPr>
        <w:t>Korea Research Institute of Bioscience &amp; Biotechnology (KRIBB)</w:t>
      </w:r>
    </w:p>
    <w:p>
      <w:pPr>
        <w:ind w:firstLine="800"/>
        <w:spacing w:after="0" w:line="360" w:lineRule="auto"/>
        <w:rPr>
          <w:rFonts w:ascii="Times New Roman" w:hAnsi="Times New Roman" w:cs="Times New Roman"/>
        </w:rPr>
      </w:pPr>
    </w:p>
    <w:p>
      <w:pPr>
        <w:ind w:firstLine="800"/>
        <w:spacing w:after="0" w:line="360" w:lineRule="auto"/>
      </w:pPr>
      <w:r>
        <w:rPr>
          <w:rFonts w:ascii="Times New Roman" w:hAnsi="Times New Roman" w:cs="Times New Roman"/>
        </w:rPr>
        <w:t xml:space="preserve">Ferroptosis is an iron-dependent regulated necrosis mediated by lipid peroxidation. In the normal state, polyunsaturated fatty acids (PUFAs) are frequently oxidized but immediately reduced by GPX4 and its cofactor glutathione (GSH). However, when GPX4 is inhibited or GSH is depleted, lipid peroxides accumulate in cells, leading to ferroptosis. </w:t>
      </w:r>
      <w:r>
        <w:rPr>
          <w:rFonts w:ascii="Times New Roman" w:hAnsi="Times New Roman" w:cs="Times New Roman"/>
          <w:color w:val="000000"/>
          <w:szCs w:val="20"/>
        </w:rPr>
        <w:t>The critical roles of ferroptosis in various human diseases including neurological disorders, ischemia-reperfusion injury, kidney damage, and blood disorders</w:t>
      </w:r>
      <w:r>
        <w:rPr>
          <w:rFonts w:ascii="Times New Roman" w:eastAsia="맑은 고딕" w:hAnsi="Times New Roman" w:cs="Times New Roman"/>
          <w:color w:val="000000"/>
          <w:szCs w:val="20"/>
        </w:rPr>
        <w:t>,</w:t>
      </w:r>
      <w:r>
        <w:rPr>
          <w:rFonts w:ascii="Times New Roman" w:hAnsi="Times New Roman" w:cs="Times New Roman"/>
          <w:color w:val="000000"/>
          <w:szCs w:val="20"/>
        </w:rPr>
        <w:t xml:space="preserve"> have become widely recognized through extensive in vitro and in vivo studies. In addition, cancer cells, especially chemoresistant or persister cancer cells, are highly vulnerable to ferroptosis inducers, which suggests </w:t>
      </w:r>
      <w:r>
        <w:rPr>
          <w:rFonts w:ascii="Times New Roman" w:eastAsia="맑은 고딕" w:hAnsi="Times New Roman" w:cs="Times New Roman"/>
          <w:color w:val="000000"/>
          <w:szCs w:val="20"/>
        </w:rPr>
        <w:t>a</w:t>
      </w:r>
      <w:r>
        <w:rPr>
          <w:rFonts w:ascii="Times New Roman" w:hAnsi="Times New Roman" w:cs="Times New Roman"/>
          <w:color w:val="000000"/>
          <w:szCs w:val="20"/>
        </w:rPr>
        <w:t xml:space="preserve"> strategy for </w:t>
      </w:r>
      <w:r>
        <w:rPr>
          <w:rFonts w:ascii="Times New Roman" w:eastAsia="맑은 고딕" w:hAnsi="Times New Roman" w:cs="Times New Roman"/>
          <w:color w:val="000000"/>
          <w:szCs w:val="20"/>
        </w:rPr>
        <w:t>anti-cancer</w:t>
      </w:r>
      <w:r>
        <w:rPr>
          <w:rFonts w:ascii="Times New Roman" w:hAnsi="Times New Roman" w:cs="Times New Roman"/>
          <w:color w:val="000000"/>
          <w:szCs w:val="20"/>
        </w:rPr>
        <w:t xml:space="preserve"> therapy using ferroptosis. While AA and AdA are the most susceptible PUFAs to peroxidation, ho</w:t>
      </w:r>
      <w:r>
        <w:rPr>
          <w:rFonts w:ascii="Times New Roman" w:hAnsi="Times New Roman" w:cs="Times New Roman"/>
          <w:color w:val="000000"/>
          <w:szCs w:val="20"/>
        </w:rPr>
        <w:t xml:space="preserve">w these lipids are controlled in </w:t>
      </w:r>
      <w:r>
        <w:rPr>
          <w:rFonts w:ascii="Times New Roman" w:eastAsia="맑은 고딕" w:hAnsi="Times New Roman" w:cs="Times New Roman"/>
          <w:color w:val="000000"/>
          <w:szCs w:val="20"/>
        </w:rPr>
        <w:t>cells</w:t>
      </w:r>
      <w:r>
        <w:rPr>
          <w:rFonts w:ascii="Times New Roman" w:hAnsi="Times New Roman" w:cs="Times New Roman"/>
          <w:color w:val="000000"/>
          <w:szCs w:val="20"/>
        </w:rPr>
        <w:t xml:space="preserve"> is largely unknown. The most abundant PUFA in serum and plasma is LA (C18:2)</w:t>
      </w:r>
      <w:r>
        <w:rPr>
          <w:rFonts w:ascii="Times New Roman" w:eastAsia="맑은 고딕" w:hAnsi="Times New Roman" w:cs="Times New Roman"/>
          <w:color w:val="000000"/>
          <w:szCs w:val="20"/>
        </w:rPr>
        <w:t>,</w:t>
      </w:r>
      <w:r>
        <w:rPr>
          <w:rFonts w:ascii="Times New Roman" w:hAnsi="Times New Roman" w:cs="Times New Roman"/>
          <w:color w:val="000000"/>
          <w:szCs w:val="20"/>
        </w:rPr>
        <w:t xml:space="preserve"> and</w:t>
      </w:r>
      <w:r>
        <w:rPr>
          <w:rFonts w:ascii="Times New Roman" w:eastAsia="맑은 고딕" w:hAnsi="Times New Roman" w:cs="Times New Roman"/>
          <w:color w:val="000000"/>
          <w:szCs w:val="20"/>
        </w:rPr>
        <w:t xml:space="preserve"> a</w:t>
      </w:r>
      <w:r>
        <w:rPr>
          <w:rFonts w:ascii="Times New Roman" w:hAnsi="Times New Roman" w:cs="Times New Roman"/>
          <w:color w:val="000000"/>
          <w:szCs w:val="20"/>
        </w:rPr>
        <w:t xml:space="preserve"> comparable amount of AA is also found in serum. However, very long-chain PUFAs (VLC-</w:t>
      </w:r>
      <w:r>
        <w:rPr>
          <w:rFonts w:ascii="Times New Roman" w:eastAsia="맑은 고딕" w:hAnsi="Times New Roman" w:cs="Times New Roman"/>
          <w:color w:val="000000"/>
          <w:szCs w:val="20"/>
        </w:rPr>
        <w:t>PUFAs</w:t>
      </w:r>
      <w:r>
        <w:rPr>
          <w:rFonts w:ascii="Times New Roman" w:hAnsi="Times New Roman" w:cs="Times New Roman"/>
          <w:color w:val="000000"/>
          <w:szCs w:val="20"/>
        </w:rPr>
        <w:t>) with more than 22 carbons</w:t>
      </w:r>
      <w:r>
        <w:rPr>
          <w:rFonts w:ascii="Times New Roman" w:eastAsia="맑은 고딕" w:hAnsi="Times New Roman" w:cs="Times New Roman"/>
          <w:color w:val="000000"/>
          <w:szCs w:val="20"/>
        </w:rPr>
        <w:t>,</w:t>
      </w:r>
      <w:r>
        <w:rPr>
          <w:rFonts w:ascii="Times New Roman" w:hAnsi="Times New Roman" w:cs="Times New Roman"/>
          <w:color w:val="000000"/>
          <w:szCs w:val="20"/>
        </w:rPr>
        <w:t xml:space="preserve"> such as AdA (C22:4)</w:t>
      </w:r>
      <w:r>
        <w:rPr>
          <w:rFonts w:ascii="Times New Roman" w:eastAsia="맑은 고딕" w:hAnsi="Times New Roman" w:cs="Times New Roman"/>
          <w:color w:val="000000"/>
          <w:szCs w:val="20"/>
        </w:rPr>
        <w:t>,</w:t>
      </w:r>
      <w:r>
        <w:rPr>
          <w:rFonts w:ascii="Times New Roman" w:hAnsi="Times New Roman" w:cs="Times New Roman"/>
          <w:color w:val="000000"/>
          <w:szCs w:val="20"/>
        </w:rPr>
        <w:t xml:space="preserve"> are rarely </w:t>
      </w:r>
      <w:r>
        <w:rPr>
          <w:rFonts w:ascii="Times New Roman" w:eastAsia="맑은 고딕" w:hAnsi="Times New Roman" w:cs="Times New Roman"/>
          <w:color w:val="000000"/>
          <w:szCs w:val="20"/>
        </w:rPr>
        <w:t>present</w:t>
      </w:r>
      <w:r>
        <w:rPr>
          <w:rFonts w:ascii="Times New Roman" w:hAnsi="Times New Roman" w:cs="Times New Roman"/>
          <w:color w:val="000000"/>
          <w:szCs w:val="20"/>
        </w:rPr>
        <w:t xml:space="preserve"> in serum and plasma. In this </w:t>
      </w:r>
      <w:r>
        <w:rPr>
          <w:rFonts w:ascii="Times New Roman" w:eastAsia="맑은 고딕" w:hAnsi="Times New Roman" w:cs="Times New Roman"/>
          <w:color w:val="000000"/>
          <w:szCs w:val="20"/>
        </w:rPr>
        <w:t>regard</w:t>
      </w:r>
      <w:r>
        <w:rPr>
          <w:rFonts w:ascii="Times New Roman" w:hAnsi="Times New Roman" w:cs="Times New Roman"/>
          <w:color w:val="000000"/>
          <w:szCs w:val="20"/>
        </w:rPr>
        <w:t>, we recently reported that cell-autonomous synthesis of AA and AdA by fatty acid desaturases (FADSs) and elongases (ELOVLs) is critical for ferroptosis</w:t>
      </w:r>
      <w:r>
        <w:rPr>
          <w:rFonts w:ascii="Times New Roman" w:eastAsia="맑은 고딕" w:hAnsi="Times New Roman" w:cs="Times New Roman"/>
          <w:color w:val="000000"/>
          <w:szCs w:val="20"/>
        </w:rPr>
        <w:t>,</w:t>
      </w:r>
      <w:r>
        <w:rPr>
          <w:rFonts w:ascii="Times New Roman" w:hAnsi="Times New Roman" w:cs="Times New Roman"/>
          <w:color w:val="000000"/>
          <w:szCs w:val="20"/>
        </w:rPr>
        <w:t xml:space="preserve"> although AA can be imported when PUFA synthesis is inhibited. Nevertheless, a number of </w:t>
      </w:r>
      <w:r>
        <w:rPr>
          <w:rFonts w:ascii="Times New Roman" w:eastAsia="맑은 고딕" w:hAnsi="Times New Roman" w:cs="Times New Roman"/>
          <w:color w:val="000000"/>
          <w:szCs w:val="20"/>
        </w:rPr>
        <w:t>studies</w:t>
      </w:r>
      <w:r>
        <w:rPr>
          <w:rFonts w:ascii="Times New Roman" w:hAnsi="Times New Roman" w:cs="Times New Roman"/>
          <w:color w:val="000000"/>
          <w:szCs w:val="20"/>
        </w:rPr>
        <w:t xml:space="preserve"> have suggested that AA import and AA esterification by ACSL4 play a pivotal role in ferroptosis. Although both AA synthesis and AA uptake are crucial in ferroptosis, these pathway seems to be relatively slow. Therefore, it is thought that cells may also have a metabolic mechanism that rapidly respond to environmental changes. Oure recent study suggest that cell-autonomous recycling of AA by Lp-PLA2 is rapid and crucial pathway that determines the amount of AA-containing PE and PE-p, thereby contributing ferroptosis resistance. In this talk, I will brifely introduce several factors that mediate lipid synthesis and lipid remodeling, which eventually affect ferroptosis in cancer and cardiovascular diseases. Our results will provide insights into treatment strategies for ferroptosis-related diseases.</w:t>
      </w: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 w:name="Arial">
    <w:panose1 w:val="020B0604020202020204"/>
    <w:family w:val="swiss"/>
    <w:charset w:val="00"/>
    <w:notTrueType w:val="false"/>
    <w:sig w:usb0="E0002EFF" w:usb1="C000785B" w:usb2="00000009" w:usb3="00000001" w:csb0="400001FF" w:csb1="FFFF0000"/>
  </w:font>
  <w:font w:name="SimSun">
    <w:panose1 w:val="02010600030101010101"/>
    <w:family w:val="auto"/>
    <w:charset w:val="86"/>
    <w:notTrueType w:val="false"/>
    <w:sig w:usb0="00000003" w:usb1="288F0000" w:usb2="00000006" w:usb3="00000001" w:csb0="0004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200" w:line="276" w:lineRule="auto"/>
      </w:pPr>
    </w:pPrDefault>
  </w:docDefaults>
  <w:style w:type="paragraph" w:default="1" w:styleId="a1">
    <w:name w:val="Normal"/>
    <w:qFormat/>
    <w:pPr>
      <w:autoSpaceDE w:val="off"/>
      <w:autoSpaceDN w:val="off"/>
      <w:widowControl w:val="off"/>
      <w:wordWrap w:val="off"/>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Char9">
    <w:name w:val="머리글 Char"/>
    <w:basedOn w:val="a2"/>
    <w:link w:val="header"/>
  </w:style>
  <w:style w:type="paragraph" w:styleId="aff8">
    <w:name w:val="footer"/>
    <w:basedOn w:val="a1"/>
    <w:link w:val="바닥글 Char"/>
    <w:unhideWhenUsed/>
    <w:pPr>
      <w:snapToGrid w:val="0"/>
      <w:tabs>
        <w:tab w:val="center" w:pos="4513"/>
        <w:tab w:val="right" w:pos="9026"/>
      </w:tabs>
    </w:pPr>
  </w:style>
  <w:style w:type="character" w:styleId="a2">
    <w:name w:val="Default Paragraph Font"/>
    <w:semiHidden/>
    <w:unhideWhenUsed/>
  </w:style>
  <w:style w:type="paragraph" w:styleId="a1">
    <w:name w:val="Normal"/>
    <w:qFormat/>
    <w:pPr>
      <w:autoSpaceDE w:val="off"/>
      <w:autoSpaceDN w:val="off"/>
      <w:widowControl w:val="off"/>
      <w:wordWrap w:val="off"/>
    </w:pPr>
  </w:style>
  <w:style w:type="numbering" w:styleId="a4">
    <w:name w:val="No List"/>
    <w:semiHidden/>
    <w:unhideWhenUsed/>
  </w:style>
  <w:style w:type="table" w:styleId="a3">
    <w:name w:val="Normal Table"/>
    <w:semiHidden/>
    <w:unhideWhenUsed/>
    <w:tblPr>
      <w:tblInd w:w="0" w:type="dxa"/>
      <w:tblCellMar>
        <w:top w:w="0" w:type="dxa"/>
        <w:left w:w="108" w:type="dxa"/>
        <w:bottom w:w="0" w:type="dxa"/>
        <w:right w:w="108" w:type="dxa"/>
      </w:tblCellMar>
    </w:tblPr>
  </w:style>
  <w:style w:type="paragraph" w:styleId="afe">
    <w:name w:val="header"/>
    <w:basedOn w:val="a1"/>
    <w:link w:val="머리글 Char"/>
    <w:unhideWhenUsed/>
    <w:pPr>
      <w:snapToGrid w:val="0"/>
      <w:tabs>
        <w:tab w:val="center" w:pos="4513"/>
        <w:tab w:val="right" w:pos="9026"/>
      </w:tabs>
    </w:pPr>
  </w:style>
  <w:style w:type="character" w:customStyle="1" w:styleId="Charf">
    <w:name w:val="바닥글 Char"/>
    <w:basedOn w:val="a2"/>
    <w:link w:val="footer"/>
  </w:style>
  <w:style w:type="character" w:styleId="afffa">
    <w:name w:val="Hyperlink"/>
    <w:basedOn w:val="a2"/>
    <w:unhideWhenUsed/>
    <w:rPr>
      <w:color w:val="0000FF"/>
      <w:u w:val="single" w:color="auto"/>
    </w:rPr>
  </w:style>
  <w:style w:type="table" w:styleId="afffb">
    <w:name w:val="Table Grid"/>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PTitle">
    <w:name w:val="TTP Title"/>
    <w:basedOn w:val="a1"/>
    <w:next w:val="a1"/>
    <w:qFormat/>
    <w:pPr>
      <w:widowControl/>
      <w:wordWrap/>
      <w:jc w:val="center"/>
      <w:spacing w:after="120" w:line="240" w:lineRule="auto"/>
    </w:pPr>
    <w:rPr>
      <w:lang w:eastAsia="en-US"/>
      <w:rFonts w:ascii="Arial" w:eastAsia="SimSun" w:hAnsi="Arial" w:cs="Arial"/>
      <w:b/>
      <w:bCs/>
      <w:sz w:val="30"/>
      <w:szCs w:val="3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2022-10-18T05:34:00Z</dcterms:created>
  <dcterms:modified xsi:type="dcterms:W3CDTF">2022-11-29T04:30:14Z</dcterms:modified>
  <cp:version>0900.0001.01</cp:version>
</cp:coreProperties>
</file>